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24/09/2020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1ª á 9ª parcela</w:t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(X  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TERMO DE COLABORAÇÃO  015/2017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INSTITUIÇÃO ESPÍRITA LAR DE MARCOS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17.359.415/0001-59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07/01/2020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01/09/2020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R$ 982.958,00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Devido a falta de envio de documentos comprovando cumprimento das metas estabelecidas no plano de trabalho, cuja cobrança foi endereçada á OSC parceira, conforme e.mails anexos, a Ordenadora de Despesas da SMDS foi comunicada para não efetuar pagamento da última parcela da referida parceria,  também comunicada, a Instituição Espírita Lar de Marcos endereçou e.mail (anexo) justificando da impossibilidade do cumprimento das metas estabelecidas devido a pandemia do COVID 19, sendo as ações direcionadas para a prevenção e proteção contra o vírus, onde foram providenciados equipamentos de proteção pra profissionais que atendem nos CRAS, CREAS, Conselhos Tutelares, Bolsa Família e servidores da SMDS.Ressalto que estas ações foram elaboradas durante período que este Gestor foi designado para acompanhar a parceria, não sendo responsabilidade deste o período anterior. Informo também, que, devido á natureza das metas descritas no plano de trabalho, não houve como fazer visitas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in loco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aos locais das prestações dos serviços.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PARCIALMENTE (   x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JUSTIFICATIVA: ações prejudicadas pela Pandemia COVID-19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24/09/2019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0874612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LibreOffice/5.3.6.1$Windows_X86_64 LibreOffice_project/686f202eff87ef707079aeb7f485847613344eb7</Application>
  <Pages>2</Pages>
  <Words>288</Words>
  <Characters>1670</Characters>
  <CharactersWithSpaces>1935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2020-09-24T10:18:14Z</cp:lastPrinted>
  <dcterms:modified xsi:type="dcterms:W3CDTF">2020-11-26T12:17:28Z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