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 w:themeFill="background1"/>
        <w:rPr/>
      </w:pPr>
      <w:r>
        <w:rPr/>
      </w:r>
    </w:p>
    <w:p>
      <w:pPr>
        <w:pStyle w:val="Normal"/>
        <w:shd w:val="clear" w:color="auto" w:fill="FFFFFF" w:themeFill="background1"/>
        <w:rPr/>
      </w:pPr>
      <w:r>
        <w:rPr/>
      </w:r>
    </w:p>
    <w:tbl>
      <w:tblPr>
        <w:tblStyle w:val="Tabelacomgrade"/>
        <w:tblW w:w="11057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12"/>
        <w:gridCol w:w="220"/>
        <w:gridCol w:w="2359"/>
        <w:gridCol w:w="1"/>
        <w:gridCol w:w="1034"/>
        <w:gridCol w:w="405"/>
        <w:gridCol w:w="888"/>
        <w:gridCol w:w="1962"/>
        <w:gridCol w:w="418"/>
        <w:gridCol w:w="1"/>
        <w:gridCol w:w="1"/>
        <w:gridCol w:w="2155"/>
      </w:tblGrid>
      <w:tr>
        <w:trPr>
          <w:trHeight w:val="795" w:hRule="atLeast"/>
        </w:trPr>
        <w:tc>
          <w:tcPr>
            <w:tcW w:w="1612" w:type="dxa"/>
            <w:vMerge w:val="restart"/>
            <w:tcBorders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828675" cy="1003935"/>
                  <wp:effectExtent l="0" t="0" r="0" b="0"/>
                  <wp:docPr id="1" name="Pictur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7" w:type="dxa"/>
            <w:gridSpan w:val="8"/>
            <w:tcBorders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PREFEITURA MUNICIPAL DE CONTAGEM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ÓRGÃO MUNICIPAL : SMDS</w:t>
            </w:r>
          </w:p>
        </w:tc>
        <w:tc>
          <w:tcPr>
            <w:tcW w:w="2157" w:type="dxa"/>
            <w:gridSpan w:val="3"/>
            <w:vMerge w:val="restart"/>
            <w:tcBorders>
              <w:left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76" w:before="24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DATA:</w:t>
            </w:r>
          </w:p>
          <w:p>
            <w:pPr>
              <w:pStyle w:val="Normal"/>
              <w:shd w:val="clear" w:color="auto" w:fill="FFFFFF" w:themeFill="background1"/>
              <w:spacing w:lineRule="auto" w:line="276" w:before="240" w:after="0"/>
              <w:jc w:val="center"/>
              <w:rPr/>
            </w:pPr>
            <w:r>
              <w:rPr/>
              <w:t>2</w:t>
            </w:r>
            <w:r>
              <w:rPr/>
              <w:t>4</w:t>
            </w:r>
            <w:r>
              <w:rPr/>
              <w:t>/09/2019</w:t>
            </w:r>
          </w:p>
        </w:tc>
      </w:tr>
      <w:tr>
        <w:trPr>
          <w:trHeight w:val="795" w:hRule="atLeast"/>
        </w:trPr>
        <w:tc>
          <w:tcPr>
            <w:tcW w:w="1612" w:type="dxa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w="7287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PARECER TÉCNICO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DECRETO Nº 30/2017</w:t>
            </w:r>
          </w:p>
        </w:tc>
        <w:tc>
          <w:tcPr>
            <w:tcW w:w="2157" w:type="dxa"/>
            <w:gridSpan w:val="3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25" w:hRule="atLeast"/>
        </w:trPr>
        <w:tc>
          <w:tcPr>
            <w:tcW w:w="1612" w:type="dxa"/>
            <w:vMerge w:val="restart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PROCESSO:</w:t>
            </w:r>
          </w:p>
        </w:tc>
        <w:tc>
          <w:tcPr>
            <w:tcW w:w="2580" w:type="dxa"/>
            <w:gridSpan w:val="3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/>
              <w:t>PRESTAÇÃO DE CONTAS</w:t>
            </w:r>
          </w:p>
        </w:tc>
        <w:tc>
          <w:tcPr>
            <w:tcW w:w="1439" w:type="dxa"/>
            <w:gridSpan w:val="2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PARCELA/Nº:</w:t>
            </w:r>
          </w:p>
        </w:tc>
        <w:tc>
          <w:tcPr>
            <w:tcW w:w="3269" w:type="dxa"/>
            <w:gridSpan w:val="4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4ª, 5ª,6ª, 7ª  SALDO</w:t>
            </w:r>
          </w:p>
        </w:tc>
        <w:tc>
          <w:tcPr>
            <w:tcW w:w="2156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>
                <w:b/>
              </w:rPr>
              <w:t>( ) PARCIAL/ANUAL</w:t>
            </w:r>
          </w:p>
        </w:tc>
      </w:tr>
      <w:tr>
        <w:trPr>
          <w:trHeight w:val="225" w:hRule="atLeast"/>
        </w:trPr>
        <w:tc>
          <w:tcPr>
            <w:tcW w:w="1612" w:type="dxa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</w:r>
          </w:p>
        </w:tc>
        <w:tc>
          <w:tcPr>
            <w:tcW w:w="2580" w:type="dxa"/>
            <w:gridSpan w:val="3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39" w:type="dxa"/>
            <w:gridSpan w:val="2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69" w:type="dxa"/>
            <w:gridSpan w:val="4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56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>
                <w:b/>
              </w:rPr>
              <w:t xml:space="preserve">(  </w:t>
            </w:r>
            <w:r>
              <w:rPr>
                <w:b/>
              </w:rPr>
              <w:t>X</w:t>
            </w:r>
            <w:r>
              <w:rPr>
                <w:b/>
              </w:rPr>
              <w:t>) FINAL</w:t>
            </w:r>
          </w:p>
        </w:tc>
      </w:tr>
      <w:tr>
        <w:trPr>
          <w:trHeight w:val="547" w:hRule="atLeast"/>
        </w:trPr>
        <w:tc>
          <w:tcPr>
            <w:tcW w:w="1612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PARCERIA Nº:</w:t>
            </w:r>
          </w:p>
        </w:tc>
        <w:tc>
          <w:tcPr>
            <w:tcW w:w="9444" w:type="dxa"/>
            <w:gridSpan w:val="11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008/2018</w:t>
            </w:r>
          </w:p>
        </w:tc>
      </w:tr>
      <w:tr>
        <w:trPr>
          <w:trHeight w:val="547" w:hRule="atLeast"/>
        </w:trPr>
        <w:tc>
          <w:tcPr>
            <w:tcW w:w="1612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PARCEIRO:</w:t>
            </w:r>
          </w:p>
        </w:tc>
        <w:tc>
          <w:tcPr>
            <w:tcW w:w="9444" w:type="dxa"/>
            <w:gridSpan w:val="11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AÇÃO SOCIAL DA PARÓQUIA SÃO GONÇALO- “PROJETO ACOLHER”</w:t>
            </w:r>
          </w:p>
        </w:tc>
      </w:tr>
      <w:tr>
        <w:trPr>
          <w:trHeight w:val="547" w:hRule="atLeast"/>
        </w:trPr>
        <w:tc>
          <w:tcPr>
            <w:tcW w:w="1612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CNPJ:</w:t>
            </w:r>
          </w:p>
        </w:tc>
        <w:tc>
          <w:tcPr>
            <w:tcW w:w="3614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02.482.965/0001-93</w:t>
            </w:r>
          </w:p>
        </w:tc>
        <w:tc>
          <w:tcPr>
            <w:tcW w:w="129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PERÍODO:</w:t>
            </w:r>
          </w:p>
        </w:tc>
        <w:tc>
          <w:tcPr>
            <w:tcW w:w="19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28/06/2018</w:t>
            </w:r>
          </w:p>
        </w:tc>
        <w:tc>
          <w:tcPr>
            <w:tcW w:w="420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>
                <w:b/>
              </w:rPr>
              <w:t>A</w:t>
            </w:r>
          </w:p>
        </w:tc>
        <w:tc>
          <w:tcPr>
            <w:tcW w:w="215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/>
            </w:pPr>
            <w:r>
              <w:rPr/>
              <w:t>01/08/2019</w:t>
            </w:r>
          </w:p>
        </w:tc>
      </w:tr>
      <w:tr>
        <w:trPr>
          <w:trHeight w:val="547" w:hRule="atLeast"/>
        </w:trPr>
        <w:tc>
          <w:tcPr>
            <w:tcW w:w="1612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VALOR TOTAL CELEBRADO:</w:t>
            </w:r>
          </w:p>
        </w:tc>
        <w:tc>
          <w:tcPr>
            <w:tcW w:w="9444" w:type="dxa"/>
            <w:gridSpan w:val="11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 xml:space="preserve">R$ </w:t>
            </w:r>
            <w:r>
              <w:rPr/>
              <w:t>340.658,78</w:t>
            </w:r>
          </w:p>
        </w:tc>
      </w:tr>
      <w:tr>
        <w:trPr>
          <w:trHeight w:val="339" w:hRule="atLeast"/>
        </w:trPr>
        <w:tc>
          <w:tcPr>
            <w:tcW w:w="11056" w:type="dxa"/>
            <w:gridSpan w:val="12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D9D9D9" w:themeFill="background1" w:themeFillShade="d9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>
                <w:b/>
              </w:rPr>
              <w:t xml:space="preserve">ANÁLISE TÉCNICA - </w:t>
            </w:r>
            <w:r>
              <w:rPr/>
              <w:t>Conclusão descrevendo se o objeto proposto no Plano de Trabalho foi atingido em sua totalidade, bem como acerca da correta aplicação dos recursos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</w:r>
          </w:p>
        </w:tc>
      </w:tr>
      <w:tr>
        <w:trPr>
          <w:trHeight w:val="110" w:hRule="atLeast"/>
        </w:trPr>
        <w:tc>
          <w:tcPr>
            <w:tcW w:w="11056" w:type="dxa"/>
            <w:gridSpan w:val="12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>
          <w:trHeight w:val="339" w:hRule="atLeast"/>
        </w:trPr>
        <w:tc>
          <w:tcPr>
            <w:tcW w:w="11056" w:type="dxa"/>
            <w:gridSpan w:val="12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ind w:hanging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jc w:val="both"/>
              <w:rPr/>
            </w:pPr>
            <w:r>
              <w:rPr/>
              <w:t>Durante o período de execução do presente Termo de Fomento 008/2018, foram fielmente executadas as metas propostas no plano de trabalho, sendo atendidas um total de 3.564 pessoas nos serviços oferecidos pela OSC parceira, atendimentos distribuídos da seguinte forma:</w:t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Rule="auto" w:line="240" w:before="0" w:after="0"/>
              <w:contextualSpacing/>
              <w:jc w:val="both"/>
              <w:rPr/>
            </w:pPr>
            <w:r>
              <w:rPr/>
              <w:t>Rodas de conversas: 567   (Meta 90)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Rule="auto" w:line="240" w:before="0" w:after="0"/>
              <w:contextualSpacing/>
              <w:jc w:val="both"/>
              <w:rPr/>
            </w:pPr>
            <w:r>
              <w:rPr/>
              <w:t>Cursos profissionalizantes: 965 (Meta 70)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Rule="auto" w:line="240" w:before="0" w:after="0"/>
              <w:contextualSpacing/>
              <w:jc w:val="both"/>
              <w:rPr/>
            </w:pPr>
            <w:r>
              <w:rPr/>
              <w:t>Oficina Cultivo de horta: 112 (Meta 35)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Rule="auto" w:line="240" w:before="0" w:after="0"/>
              <w:contextualSpacing/>
              <w:jc w:val="both"/>
              <w:rPr/>
            </w:pPr>
            <w:r>
              <w:rPr/>
              <w:t xml:space="preserve">Fábrica de vassouras: </w:t>
            </w:r>
            <w:r>
              <w:rPr/>
              <w:t>85 (Meta 20)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Rule="auto" w:line="240" w:before="0" w:after="0"/>
              <w:contextualSpacing/>
              <w:jc w:val="both"/>
              <w:rPr/>
            </w:pPr>
            <w:r>
              <w:rPr/>
              <w:t>Atendimento para banhos, alimentação e higiene: 1.831 (Meta 30),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Rule="auto" w:line="240" w:before="0" w:after="0"/>
              <w:contextualSpacing/>
              <w:jc w:val="both"/>
              <w:rPr/>
            </w:pPr>
            <w:r>
              <w:rPr/>
              <w:t>EJA: 04 (Meta 50) – foi justificado baixa procura desta meta pela OSC</w:t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jc w:val="both"/>
              <w:rPr/>
            </w:pPr>
            <w:r>
              <w:rPr/>
              <w:t>Como pode ser observado, foi ultrapassada, e muito, as metas estipuladas no Plano de Trabalho da parceria.</w:t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jc w:val="both"/>
              <w:rPr/>
            </w:pPr>
            <w:r>
              <w:rPr/>
              <w:t>No tocante á aplicação dos recursos, a mesma foi demonstrada e analisada pela Gerência de Prestação de Contas da SMDS, sendo sanadas todas as inconformidades apontadas, sendo que o saldo (sobra) dos valores repassados devolvido por meio de depósito bancário no valor de R$ 35.400,33 ( trinta e cinco mil, quatrocentos reais e trinta e três centavos), conforme demonstrado na folha 11 da Prestação de Contas Final, e os equipamentos adquiridos foram entregues para esta secretaria, conforme ofício 037/2018  da OSC e e.mail datado de 22/08/2019, enviado pela titular da SMDS, confirmando que os mesmos já foram recolhidos (ambos em anexo), sendo já solicitado á DOI providências sobre o patrimoniamento dos mesmos, conforme cópias de e.mails em anexo.</w:t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</w:tc>
      </w:tr>
      <w:tr>
        <w:trPr>
          <w:trHeight w:val="339" w:hRule="atLeast"/>
        </w:trPr>
        <w:tc>
          <w:tcPr>
            <w:tcW w:w="11056" w:type="dxa"/>
            <w:gridSpan w:val="12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D9D9D9" w:themeFill="background1" w:themeFillShade="d9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>
                <w:b/>
              </w:rPr>
              <w:t>CONC</w:t>
            </w:r>
            <w:r>
              <w:rPr>
                <w:b/>
              </w:rPr>
              <w:t>LUSÃO FINAL – Foi possível concluir que a OSC comprovou a execução das metas estabelecidas na parceria e prestou contas de forma correta?</w:t>
            </w:r>
          </w:p>
        </w:tc>
      </w:tr>
      <w:tr>
        <w:trPr>
          <w:trHeight w:val="339" w:hRule="atLeast"/>
        </w:trPr>
        <w:tc>
          <w:tcPr>
            <w:tcW w:w="1832" w:type="dxa"/>
            <w:gridSpan w:val="2"/>
            <w:vMerge w:val="restart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SIM(  x  )</w:t>
            </w:r>
          </w:p>
        </w:tc>
        <w:tc>
          <w:tcPr>
            <w:tcW w:w="2360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 xml:space="preserve">INTEGRALMENTE (   </w:t>
            </w:r>
            <w:r>
              <w:rPr>
                <w:b/>
              </w:rPr>
              <w:t>X</w:t>
            </w:r>
            <w:r>
              <w:rPr>
                <w:b/>
              </w:rPr>
              <w:t xml:space="preserve"> )</w:t>
            </w:r>
          </w:p>
        </w:tc>
        <w:tc>
          <w:tcPr>
            <w:tcW w:w="6864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1832" w:type="dxa"/>
            <w:gridSpan w:val="2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60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/>
            </w:pPr>
            <w:r>
              <w:rPr>
                <w:b/>
              </w:rPr>
              <w:t>PARCIALMENTE (    )</w:t>
            </w:r>
          </w:p>
        </w:tc>
        <w:tc>
          <w:tcPr>
            <w:tcW w:w="6864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>
                <w:b/>
              </w:rPr>
              <w:t xml:space="preserve">JUSTIFICATIVA: </w:t>
            </w:r>
          </w:p>
        </w:tc>
      </w:tr>
      <w:tr>
        <w:trPr>
          <w:trHeight w:val="339" w:hRule="atLeast"/>
        </w:trPr>
        <w:tc>
          <w:tcPr>
            <w:tcW w:w="1832" w:type="dxa"/>
            <w:gridSpan w:val="2"/>
            <w:vMerge w:val="restart"/>
            <w:tcBorders>
              <w:top w:val="dotted" w:sz="4" w:space="0" w:color="00000A"/>
              <w:right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NÃO (    )</w:t>
            </w:r>
          </w:p>
        </w:tc>
        <w:tc>
          <w:tcPr>
            <w:tcW w:w="2360" w:type="dxa"/>
            <w:gridSpan w:val="2"/>
            <w:vMerge w:val="restart"/>
            <w:tcBorders>
              <w:top w:val="dotted" w:sz="4" w:space="0" w:color="00000A"/>
              <w:left w:val="dotted" w:sz="4" w:space="0" w:color="00000A"/>
              <w:right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RECOMENDAÇÕES</w:t>
            </w:r>
          </w:p>
        </w:tc>
        <w:tc>
          <w:tcPr>
            <w:tcW w:w="6864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1832" w:type="dxa"/>
            <w:gridSpan w:val="2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60" w:type="dxa"/>
            <w:gridSpan w:val="2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864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4191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TÉCNICO RESPONSÁVEL PELA ELABORAÇÃO:</w:t>
            </w:r>
          </w:p>
        </w:tc>
        <w:tc>
          <w:tcPr>
            <w:tcW w:w="6865" w:type="dxa"/>
            <w:gridSpan w:val="9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Wagner Assis Rosa</w:t>
            </w:r>
          </w:p>
        </w:tc>
      </w:tr>
      <w:tr>
        <w:trPr>
          <w:trHeight w:val="339" w:hRule="atLeast"/>
        </w:trPr>
        <w:tc>
          <w:tcPr>
            <w:tcW w:w="4191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DATA DO PARECER:</w:t>
            </w:r>
          </w:p>
        </w:tc>
        <w:tc>
          <w:tcPr>
            <w:tcW w:w="6865" w:type="dxa"/>
            <w:gridSpan w:val="9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24/09/2019</w:t>
            </w:r>
          </w:p>
        </w:tc>
      </w:tr>
      <w:tr>
        <w:trPr>
          <w:trHeight w:val="339" w:hRule="atLeast"/>
        </w:trPr>
        <w:tc>
          <w:tcPr>
            <w:tcW w:w="4191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ASSINATURA:</w:t>
            </w:r>
          </w:p>
        </w:tc>
        <w:tc>
          <w:tcPr>
            <w:tcW w:w="6865" w:type="dxa"/>
            <w:gridSpan w:val="9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4191" w:type="dxa"/>
            <w:gridSpan w:val="3"/>
            <w:tcBorders>
              <w:top w:val="dotted" w:sz="4" w:space="0" w:color="00000A"/>
              <w:right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Nº DE MATRÍCULA:</w:t>
            </w:r>
          </w:p>
        </w:tc>
        <w:tc>
          <w:tcPr>
            <w:tcW w:w="6865" w:type="dxa"/>
            <w:gridSpan w:val="9"/>
            <w:tcBorders>
              <w:top w:val="dotted" w:sz="4" w:space="0" w:color="00000A"/>
              <w:left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148995-6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hd w:val="clear" w:color="auto" w:fill="FFFFFF" w:themeFill="background1"/>
        <w:spacing w:before="0" w:after="160"/>
        <w:rPr/>
      </w:pPr>
      <w:r>
        <w:rPr/>
      </w:r>
    </w:p>
    <w:sectPr>
      <w:type w:val="nextPage"/>
      <w:pgSz w:w="11906" w:h="16838"/>
      <w:pgMar w:left="238" w:right="244" w:header="0" w:top="238" w:footer="0" w:bottom="24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Lucida Sans Unicode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0445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476ea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f1e3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f1e33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b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42adc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476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Western" w:customStyle="1">
    <w:name w:val="western"/>
    <w:basedOn w:val="Normal"/>
    <w:qFormat/>
    <w:rsid w:val="00501189"/>
    <w:pPr>
      <w:spacing w:lineRule="auto" w:line="240" w:before="280" w:after="0"/>
      <w:jc w:val="center"/>
    </w:pPr>
    <w:rPr>
      <w:rFonts w:ascii="Lucida Sans Unicode" w:hAnsi="Lucida Sans Unicode" w:eastAsia="Times New Roman" w:cs="Lucida Sans Unicode"/>
      <w:color w:val="000000"/>
      <w:sz w:val="36"/>
      <w:szCs w:val="36"/>
      <w:lang w:eastAsia="zh-CN"/>
    </w:rPr>
  </w:style>
  <w:style w:type="paragraph" w:styleId="NormalWeb">
    <w:name w:val="Normal (Web)"/>
    <w:basedOn w:val="Normal"/>
    <w:uiPriority w:val="99"/>
    <w:qFormat/>
    <w:rsid w:val="008c3ce5"/>
    <w:pPr>
      <w:spacing w:lineRule="auto" w:line="240" w:before="280" w:after="119"/>
      <w:ind w:left="851" w:firstLine="1418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ef1e3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f1e3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250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D7629-1E0F-48CA-901F-77182BF3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LibreOffice/5.3.6.1$Windows_X86_64 LibreOffice_project/686f202eff87ef707079aeb7f485847613344eb7</Application>
  <Pages>1</Pages>
  <Words>357</Words>
  <Characters>1954</Characters>
  <CharactersWithSpaces>2277</CharactersWithSpaces>
  <Paragraphs>49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2018-08-23T17:03:00Z</dcterms:created>
  <dc:creator>Cláudio Nogueira</dc:creator>
  <dc:description/>
  <dc:language>pt-BR</dc:language>
  <cp:lastModifiedBy/>
  <cp:lastPrinted>2019-09-23T16:25:37Z</cp:lastPrinted>
  <dcterms:modified xsi:type="dcterms:W3CDTF">2019-09-23T16:25:57Z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