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>
                <w:b/>
                <w:sz w:val="28"/>
                <w:szCs w:val="28"/>
              </w:rPr>
              <w:t>DATA: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Saldo 6ª Parcela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>( X 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Termo de Fomento Nº 009/2019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Associação do Bairro Bela Vista- ASCOBEV – PROJETO CONEXÃO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18.261.586/0001-03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01/03/2020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31/03/2020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R$ 217.105,86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jc w:val="both"/>
              <w:rPr/>
            </w:pPr>
            <w:r>
              <w:rPr/>
              <w:t>- As metas estipuladas no Plano de Trabalho da referida parceria, estão sendo cumpridas, exceção da Roda de Conversa, cuja quantidade é de 40 pessoas ao ano e até presente momento está sendo cumprida.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jc w:val="both"/>
              <w:rPr/>
            </w:pPr>
            <w:r>
              <w:rPr/>
              <w:t xml:space="preserve">- Foi feito lançamento de despesa de reforma vestiário no valor de R$ 15.155,00 (quinze mil, cento e cinquenta e cinco reais), NFS nº 3 emitida por AAPJ Empreiteira Construção Civil Ltda, com pagamento cheque nº 850163 no valor de R$ 14.850,38 (quatorze mil, oitocentos cinquenta centavos e trinta e oito centavos), além da discrepância destes valores, não foram apresentados 3 orçamentos, conforme exige legislação, </w:t>
            </w:r>
            <w:r>
              <w:rPr/>
              <w:t>sendo que a OSC parceira deverá prestar esclarecimentos e provavelmente, devolução destes valores aos cofres públicos.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SIM(  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PARCIALMENTE (   X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>JUSTIFICATIVA:  algumas metas ainda sendo cumpridas. Faltam orçamentos na reforma do vestiário. Exigível saneamento no processo.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04/09/2020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238" w:right="244" w:header="0" w:top="238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1088642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09E5-E1D3-450F-8B66-D1D041F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LibreOffice/5.3.6.1$Windows_X86_64 LibreOffice_project/686f202eff87ef707079aeb7f485847613344eb7</Application>
  <Pages>2</Pages>
  <Words>265</Words>
  <Characters>1485</Characters>
  <CharactersWithSpaces>1726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2018-08-23T19:52:00Z</dcterms:created>
  <dc:creator>Cláudio Nogueira</dc:creator>
  <dc:description/>
  <dc:language>pt-BR</dc:language>
  <cp:lastModifiedBy/>
  <cp:lastPrinted>2020-09-11T11:23:11Z</cp:lastPrinted>
  <dcterms:modified xsi:type="dcterms:W3CDTF">2020-09-11T11:24:26Z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