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>
                <w:b/>
                <w:sz w:val="28"/>
                <w:szCs w:val="28"/>
              </w:rPr>
              <w:t>DATA: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ª Parcela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(  </w:t>
            </w:r>
            <w:r>
              <w:rPr>
                <w:b/>
              </w:rPr>
              <w:t>X</w:t>
            </w:r>
            <w:r>
              <w:rPr>
                <w:b/>
              </w:rPr>
              <w:t>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Termo de Fomento nº 009/2019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Associação do Bairro Bela Vista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18.261.586/0001-03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01/1</w:t>
            </w:r>
            <w:r>
              <w:rPr/>
              <w:t>2</w:t>
            </w:r>
            <w:r>
              <w:rPr/>
              <w:t>/2019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3</w:t>
            </w:r>
            <w:r>
              <w:rPr/>
              <w:t>1</w:t>
            </w:r>
            <w:r>
              <w:rPr/>
              <w:t>/1</w:t>
            </w:r>
            <w:r>
              <w:rPr/>
              <w:t>2</w:t>
            </w:r>
            <w:r>
              <w:rPr/>
              <w:t>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R$ 217.105,86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  <w:t xml:space="preserve">As metas previstas no plano de trabalho estão sendo cumpridas fielmente, </w:t>
            </w:r>
            <w:r>
              <w:rPr/>
              <w:t>EXCEÇÃO as atividades de Palestras e debates e Encontros com familiares e responsáveis.A</w:t>
            </w:r>
            <w:r>
              <w:rPr/>
              <w:t xml:space="preserve"> aplicação dos recursos </w:t>
            </w:r>
            <w:r>
              <w:rPr/>
              <w:t xml:space="preserve">está sendo aplicada de forma correta, </w:t>
            </w:r>
            <w:r>
              <w:rPr/>
              <w:t xml:space="preserve"> conforme demonstrado pelos relatórios emitidos pela Gerência de Prestação de Contas da SMDS.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SIM(  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PARCIALMENTE (   x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JUSTIFICATIVA: </w:t>
            </w:r>
            <w:r>
              <w:rPr>
                <w:b/>
              </w:rPr>
              <w:t>Projeto ainda em execução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09/09/2020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238" w:right="244" w:header="0" w:top="238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80778089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09E5-E1D3-450F-8B66-D1D041F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LibreOffice/5.3.6.1$Windows_X86_64 LibreOffice_project/686f202eff87ef707079aeb7f485847613344eb7</Application>
  <Pages>2</Pages>
  <Words>180</Words>
  <Characters>1029</Characters>
  <CharactersWithSpaces>1186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2018-08-23T19:52:00Z</dcterms:created>
  <dc:creator>Cláudio Nogueira</dc:creator>
  <dc:description/>
  <dc:language>pt-BR</dc:language>
  <cp:lastModifiedBy/>
  <cp:lastPrinted>2020-09-11T10:06:12Z</cp:lastPrinted>
  <dcterms:modified xsi:type="dcterms:W3CDTF">2020-09-11T10:08:12Z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